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47" w:val="left" w:leader="none"/>
          <w:tab w:pos="11539" w:val="left" w:leader="none"/>
        </w:tabs>
        <w:spacing w:before="68"/>
        <w:ind w:left="103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6F2F9F"/>
          <w:w w:val="99"/>
          <w:sz w:val="38"/>
          <w:u w:val="single" w:color="000000"/>
        </w:rPr>
        <w:t> </w:t>
      </w:r>
      <w:r>
        <w:rPr>
          <w:rFonts w:ascii="Arial"/>
          <w:b/>
          <w:color w:val="6F2F9F"/>
          <w:sz w:val="38"/>
          <w:u w:val="single" w:color="000000"/>
        </w:rPr>
        <w:tab/>
        <w:t>MINOR PROGRAM IN</w:t>
      </w:r>
      <w:r>
        <w:rPr>
          <w:rFonts w:ascii="Arial"/>
          <w:b/>
          <w:color w:val="6F2F9F"/>
          <w:spacing w:val="-9"/>
          <w:sz w:val="38"/>
          <w:u w:val="single" w:color="000000"/>
        </w:rPr>
        <w:t> </w:t>
      </w:r>
      <w:r>
        <w:rPr>
          <w:rFonts w:ascii="Arial"/>
          <w:b/>
          <w:color w:val="6F2F9F"/>
          <w:sz w:val="38"/>
          <w:u w:val="single" w:color="000000"/>
        </w:rPr>
        <w:t>GERONTOLOGY</w:t>
        <w:tab/>
      </w:r>
    </w:p>
    <w:p>
      <w:pPr>
        <w:pStyle w:val="BodyText"/>
        <w:spacing w:before="7"/>
        <w:ind w:left="0"/>
        <w:rPr>
          <w:rFonts w:ascii="Arial"/>
          <w:b/>
          <w:sz w:val="11"/>
        </w:rPr>
      </w:pPr>
    </w:p>
    <w:p>
      <w:pPr>
        <w:pStyle w:val="BodyText"/>
        <w:spacing w:before="59"/>
      </w:pPr>
      <w:r>
        <w:rPr/>
        <w:t>The Gerontology minor consists of 21 units at the undergraduate level in the following areas:</w:t>
      </w:r>
    </w:p>
    <w:p>
      <w:pPr>
        <w:pStyle w:val="Heading1"/>
        <w:spacing w:before="119"/>
      </w:pPr>
      <w:r>
        <w:rPr/>
        <w:pict>
          <v:line style="position:absolute;mso-position-horizontal-relative:page;mso-position-vertical-relative:paragraph;z-index:0" from="22.74pt,5.839633pt" to="22.74pt,19.423633pt" stroked="true" strokeweight="2.280pt" strokecolor="#decdff">
            <v:stroke dashstyle="solid"/>
            <w10:wrap type="none"/>
          </v:line>
        </w:pict>
      </w:r>
      <w:r>
        <w:rPr>
          <w:color w:val="522376"/>
          <w:shd w:fill="E6D9FF" w:color="auto" w:val="clear"/>
        </w:rPr>
        <w:t>LOWER DIVISION-REQUIREMENTS (3 UNITS):</w:t>
      </w:r>
    </w:p>
    <w:p>
      <w:pPr>
        <w:spacing w:line="393" w:lineRule="auto" w:before="43"/>
        <w:ind w:left="132" w:right="7572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048" from="22.860001pt,82.111473pt" to="22.860001pt,95.671473pt" stroked="true" strokeweight="2.52pt" strokecolor="#decdff">
            <v:stroke dashstyle="solid"/>
            <w10:wrap type="none"/>
          </v:line>
        </w:pict>
      </w:r>
      <w:r>
        <w:rPr>
          <w:b/>
          <w:color w:val="522376"/>
          <w:sz w:val="20"/>
        </w:rPr>
        <w:t>GERO 133: </w:t>
      </w:r>
      <w:r>
        <w:rPr>
          <w:sz w:val="20"/>
        </w:rPr>
        <w:t>Introduction to Gerontology (3) * </w:t>
      </w:r>
      <w:r>
        <w:rPr>
          <w:b/>
          <w:color w:val="522376"/>
          <w:sz w:val="20"/>
        </w:rPr>
        <w:t>HUSR 133: </w:t>
      </w:r>
      <w:r>
        <w:rPr>
          <w:sz w:val="20"/>
        </w:rPr>
        <w:t>Introduction to Gerontology (3) * </w:t>
      </w:r>
      <w:r>
        <w:rPr>
          <w:b/>
          <w:color w:val="522376"/>
          <w:sz w:val="20"/>
        </w:rPr>
        <w:t>PSYC 133: </w:t>
      </w:r>
      <w:r>
        <w:rPr>
          <w:sz w:val="20"/>
        </w:rPr>
        <w:t>Introduction to Gerontology (3) * </w:t>
      </w:r>
      <w:r>
        <w:rPr>
          <w:b/>
          <w:color w:val="522376"/>
          <w:sz w:val="20"/>
        </w:rPr>
        <w:t>SOCI 133: </w:t>
      </w:r>
      <w:r>
        <w:rPr>
          <w:sz w:val="20"/>
        </w:rPr>
        <w:t>Introduction to Gerontology (3) *</w:t>
      </w:r>
    </w:p>
    <w:p>
      <w:pPr>
        <w:pStyle w:val="Heading1"/>
        <w:spacing w:line="268" w:lineRule="exact"/>
        <w:ind w:left="182"/>
      </w:pPr>
      <w:r>
        <w:rPr>
          <w:color w:val="522376"/>
          <w:shd w:fill="E6D9FF" w:color="auto" w:val="clear"/>
        </w:rPr>
        <w:t>UPPER-DIVISION REQUIREMENTS (9 UNITS FROM THE FOLLOWING):</w:t>
      </w:r>
    </w:p>
    <w:p>
      <w:pPr>
        <w:pStyle w:val="BodyText"/>
        <w:spacing w:before="4"/>
        <w:ind w:left="0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360" w:bottom="280" w:left="300" w:right="300"/>
        </w:sectPr>
      </w:pPr>
    </w:p>
    <w:p>
      <w:pPr>
        <w:spacing w:before="59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BIOL 306: </w:t>
      </w:r>
      <w:r>
        <w:rPr>
          <w:sz w:val="20"/>
        </w:rPr>
        <w:t>Biology of Aging (3) *</w:t>
      </w:r>
    </w:p>
    <w:p>
      <w:pPr>
        <w:spacing w:before="162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KNES 454: </w:t>
      </w:r>
      <w:r>
        <w:rPr>
          <w:sz w:val="20"/>
        </w:rPr>
        <w:t>Physical Dimensions of Aging (3)</w:t>
      </w:r>
    </w:p>
    <w:p>
      <w:pPr>
        <w:spacing w:before="59"/>
        <w:ind w:left="132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522376"/>
          <w:sz w:val="20"/>
        </w:rPr>
        <w:t>PSYC 362: </w:t>
      </w:r>
      <w:r>
        <w:rPr>
          <w:sz w:val="20"/>
        </w:rPr>
        <w:t>Psychology of Aging (3) *</w:t>
      </w:r>
    </w:p>
    <w:p>
      <w:pPr>
        <w:spacing w:before="162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SOCI 443: </w:t>
      </w:r>
      <w:r>
        <w:rPr>
          <w:sz w:val="20"/>
        </w:rPr>
        <w:t>Sociology of Aging (3)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60" w:bottom="280" w:left="300" w:right="300"/>
          <w:cols w:num="2" w:equalWidth="0">
            <w:col w:w="3675" w:space="2375"/>
            <w:col w:w="5590"/>
          </w:cols>
        </w:sect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Heading1"/>
        <w:spacing w:before="56"/>
      </w:pPr>
      <w:r>
        <w:rPr/>
        <w:pict>
          <v:line style="position:absolute;mso-position-horizontal-relative:page;mso-position-vertical-relative:paragraph;z-index:1072" from="22.74pt,2.713613pt" to="22.74pt,16.273613pt" stroked="true" strokeweight="2.280pt" strokecolor="#decdff">
            <v:stroke dashstyle="solid"/>
            <w10:wrap type="none"/>
          </v:line>
        </w:pict>
      </w:r>
      <w:r>
        <w:rPr>
          <w:color w:val="522376"/>
          <w:shd w:fill="E6D9FF" w:color="auto" w:val="clear"/>
        </w:rPr>
        <w:t>REQUIRED INTERNSHIP (3 UNITS):</w:t>
      </w:r>
    </w:p>
    <w:p>
      <w:pPr>
        <w:pStyle w:val="BodyText"/>
        <w:spacing w:line="276" w:lineRule="auto" w:before="42"/>
        <w:ind w:right="406"/>
      </w:pPr>
      <w:r>
        <w:rPr/>
        <w:t>One three-unit internship at the 300/400 level in a related field. An internship is a supervised experience working within the community. Internships are coordinated through the student’s major department.</w:t>
      </w:r>
    </w:p>
    <w:p>
      <w:pPr>
        <w:pStyle w:val="BodyText"/>
        <w:spacing w:before="0"/>
        <w:ind w:left="0"/>
        <w:rPr>
          <w:sz w:val="15"/>
        </w:rPr>
      </w:pPr>
    </w:p>
    <w:p>
      <w:pPr>
        <w:pStyle w:val="Heading1"/>
        <w:spacing w:before="57"/>
        <w:ind w:left="132"/>
      </w:pPr>
      <w:r>
        <w:rPr>
          <w:color w:val="522376"/>
          <w:w w:val="100"/>
          <w:shd w:fill="E6D9FF" w:color="auto" w:val="clear"/>
        </w:rPr>
        <w:t> </w:t>
      </w:r>
      <w:r>
        <w:rPr>
          <w:color w:val="522376"/>
          <w:shd w:fill="E6D9FF" w:color="auto" w:val="clear"/>
        </w:rPr>
        <w:t>UPPER-DIVISION ELECTIVES (6 UNITS, ADVISOR APPROVED):</w:t>
      </w:r>
    </w:p>
    <w:p>
      <w:pPr>
        <w:spacing w:before="41"/>
        <w:ind w:left="132" w:right="0" w:firstLine="0"/>
        <w:jc w:val="left"/>
        <w:rPr>
          <w:i/>
          <w:sz w:val="20"/>
        </w:rPr>
      </w:pPr>
      <w:r>
        <w:rPr>
          <w:i/>
          <w:sz w:val="20"/>
        </w:rPr>
        <w:t>* Meets General Education requirement</w:t>
      </w:r>
    </w:p>
    <w:p>
      <w:pPr>
        <w:pStyle w:val="BodyText"/>
        <w:spacing w:before="1"/>
        <w:ind w:left="0"/>
        <w:rPr>
          <w:i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360" w:bottom="280" w:left="300" w:right="300"/>
        </w:sectPr>
      </w:pPr>
    </w:p>
    <w:p>
      <w:pPr>
        <w:pStyle w:val="BodyText"/>
        <w:spacing w:before="59"/>
      </w:pPr>
      <w:r>
        <w:rPr>
          <w:b/>
          <w:color w:val="522376"/>
        </w:rPr>
        <w:t>ANTH 308: </w:t>
      </w:r>
      <w:r>
        <w:rPr/>
        <w:t>Culture &amp; Aging: Anthropological Gerontology (3)</w:t>
      </w:r>
    </w:p>
    <w:p>
      <w:pPr>
        <w:spacing w:before="121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ANTH 408: </w:t>
      </w:r>
      <w:r>
        <w:rPr>
          <w:sz w:val="20"/>
        </w:rPr>
        <w:t>Ethnogerontology (3)</w:t>
      </w:r>
    </w:p>
    <w:p>
      <w:pPr>
        <w:spacing w:before="121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ANTH 417: </w:t>
      </w:r>
      <w:r>
        <w:rPr>
          <w:sz w:val="20"/>
        </w:rPr>
        <w:t>Life Quests (3)</w:t>
      </w:r>
    </w:p>
    <w:p>
      <w:pPr>
        <w:spacing w:before="118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BIOL 306: </w:t>
      </w:r>
      <w:r>
        <w:rPr>
          <w:sz w:val="20"/>
        </w:rPr>
        <w:t>Biology of Aging (3)</w:t>
      </w:r>
    </w:p>
    <w:p>
      <w:pPr>
        <w:spacing w:before="121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BIOL 311: </w:t>
      </w:r>
      <w:r>
        <w:rPr>
          <w:sz w:val="20"/>
        </w:rPr>
        <w:t>Nutrition &amp; Disease (3) *</w:t>
      </w:r>
    </w:p>
    <w:p>
      <w:pPr>
        <w:spacing w:line="357" w:lineRule="auto" w:before="121"/>
        <w:ind w:left="132" w:right="1270" w:firstLine="0"/>
        <w:jc w:val="left"/>
        <w:rPr>
          <w:sz w:val="20"/>
        </w:rPr>
      </w:pPr>
      <w:r>
        <w:rPr>
          <w:b/>
          <w:color w:val="522376"/>
          <w:sz w:val="20"/>
        </w:rPr>
        <w:t>CAS 312: </w:t>
      </w:r>
      <w:r>
        <w:rPr>
          <w:sz w:val="20"/>
        </w:rPr>
        <w:t>Human Growth &amp; Development (3) * </w:t>
      </w:r>
      <w:r>
        <w:rPr>
          <w:b/>
          <w:color w:val="522376"/>
          <w:sz w:val="20"/>
        </w:rPr>
        <w:t>FIN 411: </w:t>
      </w:r>
      <w:r>
        <w:rPr>
          <w:sz w:val="20"/>
        </w:rPr>
        <w:t>Retirement &amp; Estate Planning (3) </w:t>
      </w:r>
      <w:r>
        <w:rPr>
          <w:b/>
          <w:color w:val="522376"/>
          <w:sz w:val="20"/>
        </w:rPr>
        <w:t>HESC 342: </w:t>
      </w:r>
      <w:r>
        <w:rPr>
          <w:sz w:val="20"/>
        </w:rPr>
        <w:t>Stress Management (3) *</w:t>
      </w:r>
    </w:p>
    <w:p>
      <w:pPr>
        <w:spacing w:before="0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HESC 401: </w:t>
      </w:r>
      <w:r>
        <w:rPr>
          <w:sz w:val="20"/>
        </w:rPr>
        <w:t>Epidemiology (3)</w:t>
      </w:r>
    </w:p>
    <w:p>
      <w:pPr>
        <w:spacing w:before="121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HESC 440: </w:t>
      </w:r>
      <w:r>
        <w:rPr>
          <w:sz w:val="20"/>
        </w:rPr>
        <w:t>Determinants of Health Behavior (3)</w:t>
      </w:r>
    </w:p>
    <w:p>
      <w:pPr>
        <w:pStyle w:val="BodyText"/>
        <w:spacing w:before="118"/>
      </w:pPr>
      <w:r>
        <w:rPr>
          <w:b/>
          <w:color w:val="522376"/>
        </w:rPr>
        <w:t>HESC 450</w:t>
      </w:r>
      <w:r>
        <w:rPr/>
        <w:t>: Applied Health Promotion in Aging Populations (3)</w:t>
      </w:r>
    </w:p>
    <w:p>
      <w:pPr>
        <w:spacing w:line="357" w:lineRule="auto" w:before="121"/>
        <w:ind w:left="132" w:right="1281" w:firstLine="0"/>
        <w:jc w:val="left"/>
        <w:rPr>
          <w:sz w:val="20"/>
        </w:rPr>
      </w:pPr>
      <w:r>
        <w:rPr>
          <w:b/>
          <w:color w:val="522376"/>
          <w:sz w:val="20"/>
        </w:rPr>
        <w:t>HCOM 320: </w:t>
      </w:r>
      <w:r>
        <w:rPr>
          <w:sz w:val="20"/>
        </w:rPr>
        <w:t>Intercultural Communication (3) * </w:t>
      </w:r>
      <w:r>
        <w:rPr>
          <w:b/>
          <w:color w:val="522376"/>
          <w:sz w:val="20"/>
        </w:rPr>
        <w:t>HCOM 345: </w:t>
      </w:r>
      <w:r>
        <w:rPr>
          <w:sz w:val="20"/>
        </w:rPr>
        <w:t>Communication &amp; Aging (3) * </w:t>
      </w:r>
      <w:r>
        <w:rPr>
          <w:b/>
          <w:color w:val="522376"/>
          <w:sz w:val="20"/>
        </w:rPr>
        <w:t>HUSR 310: </w:t>
      </w:r>
      <w:r>
        <w:rPr>
          <w:sz w:val="20"/>
        </w:rPr>
        <w:t>Case Management (3)</w:t>
      </w:r>
    </w:p>
    <w:p>
      <w:pPr>
        <w:pStyle w:val="BodyText"/>
        <w:spacing w:before="1"/>
      </w:pPr>
      <w:r>
        <w:rPr>
          <w:b/>
          <w:color w:val="522376"/>
        </w:rPr>
        <w:t>HUSR 380: </w:t>
      </w:r>
      <w:r>
        <w:rPr/>
        <w:t>Theories &amp; Techniques of Counseling (3) *</w:t>
      </w:r>
    </w:p>
    <w:p>
      <w:pPr>
        <w:pStyle w:val="BodyText"/>
      </w:pPr>
      <w:r>
        <w:rPr>
          <w:b/>
          <w:color w:val="522376"/>
        </w:rPr>
        <w:t>HUSR 400: </w:t>
      </w:r>
      <w:r>
        <w:rPr/>
        <w:t>Ethical &amp; Professional Issues in Human Services (3)</w:t>
      </w:r>
    </w:p>
    <w:p>
      <w:pPr>
        <w:pStyle w:val="BodyText"/>
      </w:pPr>
      <w:r>
        <w:rPr>
          <w:b/>
          <w:color w:val="522376"/>
        </w:rPr>
        <w:t>HUSR 410: </w:t>
      </w:r>
      <w:r>
        <w:rPr/>
        <w:t>Crisis Intervention for Para-Professionals (3)</w:t>
      </w:r>
    </w:p>
    <w:p>
      <w:pPr>
        <w:spacing w:before="120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HUSR 420: </w:t>
      </w:r>
      <w:r>
        <w:rPr>
          <w:sz w:val="20"/>
        </w:rPr>
        <w:t>Human Services Management (3)</w:t>
      </w:r>
    </w:p>
    <w:p>
      <w:pPr>
        <w:spacing w:line="357" w:lineRule="auto" w:before="119"/>
        <w:ind w:left="132" w:right="245" w:firstLine="0"/>
        <w:jc w:val="left"/>
        <w:rPr>
          <w:sz w:val="20"/>
        </w:rPr>
      </w:pPr>
      <w:r>
        <w:rPr>
          <w:b/>
          <w:color w:val="522376"/>
          <w:sz w:val="20"/>
        </w:rPr>
        <w:t>HUSR 480: </w:t>
      </w:r>
      <w:r>
        <w:rPr>
          <w:sz w:val="20"/>
        </w:rPr>
        <w:t>Case Analysis &amp; Intervention Techniques (3) </w:t>
      </w:r>
      <w:r>
        <w:rPr>
          <w:b/>
          <w:color w:val="522376"/>
          <w:sz w:val="20"/>
        </w:rPr>
        <w:t>KNES 353: </w:t>
      </w:r>
      <w:r>
        <w:rPr>
          <w:sz w:val="20"/>
        </w:rPr>
        <w:t>Physical Activity &amp; Lifelong Well-Being (3) * </w:t>
      </w:r>
      <w:r>
        <w:rPr>
          <w:b/>
          <w:color w:val="522376"/>
          <w:sz w:val="20"/>
        </w:rPr>
        <w:t>KNES 364: </w:t>
      </w:r>
      <w:r>
        <w:rPr>
          <w:sz w:val="20"/>
        </w:rPr>
        <w:t>Motor Development (3)</w:t>
      </w:r>
    </w:p>
    <w:p>
      <w:pPr>
        <w:spacing w:before="59"/>
        <w:ind w:left="132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522376"/>
          <w:sz w:val="20"/>
        </w:rPr>
        <w:t>KNES 371: </w:t>
      </w:r>
      <w:r>
        <w:rPr>
          <w:sz w:val="20"/>
        </w:rPr>
        <w:t>Human Motor Control &amp; Learning (3)</w:t>
      </w:r>
    </w:p>
    <w:p>
      <w:pPr>
        <w:spacing w:before="121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KNES 454: </w:t>
      </w:r>
      <w:r>
        <w:rPr>
          <w:sz w:val="20"/>
        </w:rPr>
        <w:t>Physical Dimensions of Aging (3)</w:t>
      </w:r>
    </w:p>
    <w:p>
      <w:pPr>
        <w:pStyle w:val="BodyText"/>
      </w:pPr>
      <w:r>
        <w:rPr>
          <w:b/>
          <w:color w:val="522376"/>
        </w:rPr>
        <w:t>KNES 455: </w:t>
      </w:r>
      <w:r>
        <w:rPr/>
        <w:t>Functional Performance Assessment &amp; Program for Older Adults (3)</w:t>
      </w:r>
    </w:p>
    <w:p>
      <w:pPr>
        <w:spacing w:before="119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MGMT 435: </w:t>
      </w:r>
      <w:r>
        <w:rPr>
          <w:sz w:val="20"/>
        </w:rPr>
        <w:t>Management of Service Organizations (3)</w:t>
      </w:r>
    </w:p>
    <w:p>
      <w:pPr>
        <w:spacing w:before="121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MKTG 351: </w:t>
      </w:r>
      <w:r>
        <w:rPr>
          <w:sz w:val="20"/>
        </w:rPr>
        <w:t>Principles of Marketing (3)</w:t>
      </w:r>
    </w:p>
    <w:p>
      <w:pPr>
        <w:spacing w:before="120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PHIL 314: </w:t>
      </w:r>
      <w:r>
        <w:rPr>
          <w:sz w:val="20"/>
        </w:rPr>
        <w:t>Medical Ethics (3) *</w:t>
      </w:r>
    </w:p>
    <w:p>
      <w:pPr>
        <w:spacing w:before="119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PHIL 448: </w:t>
      </w:r>
      <w:r>
        <w:rPr>
          <w:sz w:val="20"/>
        </w:rPr>
        <w:t>Death, Aging, &amp; Meaning (3)</w:t>
      </w:r>
    </w:p>
    <w:p>
      <w:pPr>
        <w:spacing w:before="120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PSYC 302: </w:t>
      </w:r>
      <w:r>
        <w:rPr>
          <w:sz w:val="20"/>
        </w:rPr>
        <w:t>Learning &amp; Memory (3)</w:t>
      </w:r>
    </w:p>
    <w:p>
      <w:pPr>
        <w:spacing w:before="121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PSYC 303: </w:t>
      </w:r>
      <w:r>
        <w:rPr>
          <w:sz w:val="20"/>
        </w:rPr>
        <w:t>Sensation &amp; Perception (3)</w:t>
      </w:r>
    </w:p>
    <w:p>
      <w:pPr>
        <w:spacing w:before="118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PSYC 361: </w:t>
      </w:r>
      <w:r>
        <w:rPr>
          <w:sz w:val="20"/>
        </w:rPr>
        <w:t>Developmental Psychology (3)</w:t>
      </w:r>
    </w:p>
    <w:p>
      <w:pPr>
        <w:spacing w:before="121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PSYC 362: </w:t>
      </w:r>
      <w:r>
        <w:rPr>
          <w:sz w:val="20"/>
        </w:rPr>
        <w:t>Psychology of Aging (3)</w:t>
      </w:r>
    </w:p>
    <w:p>
      <w:pPr>
        <w:spacing w:before="121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PSYC 415: </w:t>
      </w:r>
      <w:r>
        <w:rPr>
          <w:sz w:val="20"/>
        </w:rPr>
        <w:t>Cognitive Processes (3)</w:t>
      </w:r>
    </w:p>
    <w:p>
      <w:pPr>
        <w:spacing w:before="120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PSYC 474: </w:t>
      </w:r>
      <w:r>
        <w:rPr>
          <w:sz w:val="20"/>
        </w:rPr>
        <w:t>Health Psychology (3)</w:t>
      </w:r>
    </w:p>
    <w:p>
      <w:pPr>
        <w:spacing w:before="119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PSYC 475: </w:t>
      </w:r>
      <w:r>
        <w:rPr>
          <w:sz w:val="20"/>
        </w:rPr>
        <w:t>Psychopharmacology (3)</w:t>
      </w:r>
    </w:p>
    <w:p>
      <w:pPr>
        <w:spacing w:before="121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SOCI 351: </w:t>
      </w:r>
      <w:r>
        <w:rPr>
          <w:sz w:val="20"/>
        </w:rPr>
        <w:t>Sociology of Families (3)</w:t>
      </w:r>
    </w:p>
    <w:p>
      <w:pPr>
        <w:spacing w:before="120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SOCI 354: </w:t>
      </w:r>
      <w:r>
        <w:rPr>
          <w:sz w:val="20"/>
        </w:rPr>
        <w:t>Gender, Sex, &amp; Society (3)</w:t>
      </w:r>
    </w:p>
    <w:p>
      <w:pPr>
        <w:spacing w:before="121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SOCI 360: </w:t>
      </w:r>
      <w:r>
        <w:rPr>
          <w:sz w:val="20"/>
        </w:rPr>
        <w:t>Sociology of Death &amp; Dying (3) *</w:t>
      </w:r>
    </w:p>
    <w:p>
      <w:pPr>
        <w:spacing w:before="118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SOCI 371: </w:t>
      </w:r>
      <w:r>
        <w:rPr>
          <w:sz w:val="20"/>
        </w:rPr>
        <w:t>Sociology of City Life (3) *</w:t>
      </w:r>
    </w:p>
    <w:p>
      <w:pPr>
        <w:spacing w:before="121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SOCI 443: </w:t>
      </w:r>
      <w:r>
        <w:rPr>
          <w:sz w:val="20"/>
        </w:rPr>
        <w:t>Sociology of Aging (3)</w:t>
      </w:r>
    </w:p>
    <w:p>
      <w:pPr>
        <w:spacing w:before="121"/>
        <w:ind w:left="132" w:right="0" w:firstLine="0"/>
        <w:jc w:val="left"/>
        <w:rPr>
          <w:sz w:val="20"/>
        </w:rPr>
      </w:pPr>
      <w:r>
        <w:rPr>
          <w:b/>
          <w:color w:val="522376"/>
          <w:sz w:val="20"/>
        </w:rPr>
        <w:t>GERO 410: </w:t>
      </w:r>
      <w:r>
        <w:rPr>
          <w:sz w:val="20"/>
        </w:rPr>
        <w:t>Women, Health, &amp; Aging (3)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60" w:bottom="280" w:left="300" w:right="300"/>
          <w:cols w:num="2" w:equalWidth="0">
            <w:col w:w="5185" w:space="865"/>
            <w:col w:w="5590"/>
          </w:cols>
        </w:sectPr>
      </w:pPr>
    </w:p>
    <w:p>
      <w:pPr>
        <w:pStyle w:val="BodyText"/>
        <w:spacing w:before="3"/>
        <w:ind w:left="0"/>
        <w:rPr>
          <w:sz w:val="15"/>
        </w:rPr>
      </w:pPr>
    </w:p>
    <w:p>
      <w:pPr>
        <w:spacing w:before="59"/>
        <w:ind w:left="132" w:right="0" w:firstLine="0"/>
        <w:jc w:val="left"/>
        <w:rPr>
          <w:i/>
          <w:sz w:val="20"/>
        </w:rPr>
      </w:pPr>
      <w:r>
        <w:rPr>
          <w:i/>
          <w:sz w:val="20"/>
        </w:rPr>
        <w:t>Additional elective courses are available in selected departments across campus. Such additional electives are chosen in consultation</w:t>
      </w:r>
    </w:p>
    <w:p>
      <w:pPr>
        <w:spacing w:before="0"/>
        <w:ind w:left="132" w:right="317" w:firstLine="0"/>
        <w:jc w:val="left"/>
        <w:rPr>
          <w:i/>
          <w:sz w:val="20"/>
        </w:rPr>
      </w:pPr>
      <w:r>
        <w:rPr>
          <w:i/>
          <w:sz w:val="20"/>
        </w:rPr>
        <w:t>with the major department adviser and with the approval of the Coordinator of Gerontology Program. Up to nine units of coursework may </w:t>
      </w:r>
      <w:r>
        <w:rPr>
          <w:i/>
          <w:sz w:val="20"/>
        </w:rPr>
        <w:t>be applied to both the major and Gerontology minor.</w:t>
      </w:r>
    </w:p>
    <w:sectPr>
      <w:type w:val="continuous"/>
      <w:pgSz w:w="12240" w:h="15840"/>
      <w:pgMar w:top="3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21"/>
      <w:ind w:left="132"/>
    </w:pPr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77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Gerontology</dc:creator>
  <dcterms:created xsi:type="dcterms:W3CDTF">2020-01-07T19:31:30Z</dcterms:created>
  <dcterms:modified xsi:type="dcterms:W3CDTF">2020-01-07T19:31:30Z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2020-01-07T00:00:00Z</vt:filetime>
  </property>
</Properties>
</file>