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88E2D" w14:textId="21DAEDF6" w:rsidR="00EC3DC1" w:rsidRPr="00657602" w:rsidRDefault="00410B02" w:rsidP="00657602">
      <w:pPr>
        <w:pStyle w:val="Heading1"/>
      </w:pPr>
      <w:r w:rsidRPr="00657602">
        <w:t xml:space="preserve">HSS </w:t>
      </w:r>
      <w:r w:rsidR="00B01804" w:rsidRPr="00657602">
        <w:t>Rubric</w:t>
      </w:r>
      <w:r w:rsidR="003C5D6D" w:rsidRPr="00657602">
        <w:t xml:space="preserve"> </w:t>
      </w:r>
      <w:r w:rsidR="00B01804" w:rsidRPr="00657602">
        <w:t>for Online Instruction</w:t>
      </w:r>
      <w:r w:rsidR="007A2BC4" w:rsidRPr="00657602">
        <w:t xml:space="preserve"> Best Practices</w:t>
      </w:r>
      <w:r w:rsidRPr="00657602">
        <w:t xml:space="preserve"> </w:t>
      </w:r>
    </w:p>
    <w:p w14:paraId="672A6659" w14:textId="1A15C807" w:rsidR="00B01804" w:rsidRPr="00B41E8C" w:rsidRDefault="00BA3067" w:rsidP="00657602">
      <w:pPr>
        <w:rPr>
          <w:sz w:val="26"/>
          <w:szCs w:val="26"/>
        </w:rPr>
      </w:pPr>
      <w:r w:rsidRPr="00B41E8C">
        <w:rPr>
          <w:sz w:val="26"/>
          <w:szCs w:val="26"/>
        </w:rPr>
        <w:t>Guidance for new and experienced instructors of online/blended/hybrid courses, synthesized from quality assurance guides.</w:t>
      </w:r>
    </w:p>
    <w:p w14:paraId="417697AE" w14:textId="390C692B" w:rsidR="00B52EB9" w:rsidRPr="00657602" w:rsidRDefault="00B52EB9" w:rsidP="00657602">
      <w:pPr>
        <w:pStyle w:val="Heading2"/>
      </w:pPr>
      <w:r w:rsidRPr="00657602">
        <w:t>Category 1</w:t>
      </w:r>
      <w:r w:rsidR="00657602">
        <w:t>:</w:t>
      </w:r>
      <w:r w:rsidRPr="00657602">
        <w:t xml:space="preserve"> </w:t>
      </w:r>
      <w:r w:rsidRPr="00FB1F66">
        <w:rPr>
          <w:b w:val="0"/>
          <w:bCs/>
        </w:rPr>
        <w:t>Learner Support &amp; Resources</w:t>
      </w:r>
    </w:p>
    <w:p w14:paraId="2173D46B" w14:textId="44CADF70" w:rsidR="00B52EB9" w:rsidRPr="00B41E8C" w:rsidRDefault="00FB1F66" w:rsidP="000C5592">
      <w:pPr>
        <w:pStyle w:val="ListParagraph"/>
      </w:pPr>
      <w:r w:rsidRPr="00B41E8C">
        <w:t>1</w:t>
      </w:r>
      <w:bookmarkStart w:id="0" w:name="_GoBack"/>
      <w:bookmarkEnd w:id="0"/>
      <w:r w:rsidRPr="00B41E8C">
        <w:t xml:space="preserve">.1 </w:t>
      </w:r>
      <w:r w:rsidR="00B52EB9" w:rsidRPr="00B41E8C">
        <w:t>Course contains information about being an effective online learner.</w:t>
      </w:r>
    </w:p>
    <w:p w14:paraId="1DE53E4B" w14:textId="4E598453" w:rsidR="00B52EB9" w:rsidRPr="00B41E8C" w:rsidRDefault="00FB1F66" w:rsidP="000C5592">
      <w:pPr>
        <w:pStyle w:val="ListParagraph"/>
        <w:numPr>
          <w:ilvl w:val="0"/>
          <w:numId w:val="17"/>
        </w:numPr>
      </w:pPr>
      <w:r w:rsidRPr="00B41E8C">
        <w:t xml:space="preserve">1.2 </w:t>
      </w:r>
      <w:r w:rsidR="00B52EB9" w:rsidRPr="00B41E8C">
        <w:t>Course contains links to campus resources in the syllabus and in the module.</w:t>
      </w:r>
    </w:p>
    <w:p w14:paraId="2BC60519" w14:textId="4CEBB646" w:rsidR="00B52EB9" w:rsidRPr="00B41E8C" w:rsidRDefault="00FB1F66" w:rsidP="00B41E8C">
      <w:pPr>
        <w:pStyle w:val="ListParagraph"/>
      </w:pPr>
      <w:r w:rsidRPr="00B41E8C">
        <w:t xml:space="preserve">1.3 </w:t>
      </w:r>
      <w:r w:rsidR="00B52EB9" w:rsidRPr="00B41E8C">
        <w:t>Course provides course-specific resources, contact information for instructor, department, and program.</w:t>
      </w:r>
    </w:p>
    <w:p w14:paraId="7E6D18CF" w14:textId="77777777" w:rsidR="00FB1F66" w:rsidRDefault="00B52EB9" w:rsidP="00FB1F66">
      <w:pPr>
        <w:pStyle w:val="Heading2"/>
      </w:pPr>
      <w:r w:rsidRPr="00FB1F66">
        <w:t>Category 2</w:t>
      </w:r>
      <w:r w:rsidR="00657602" w:rsidRPr="00FB1F66">
        <w:t>:</w:t>
      </w:r>
      <w:r w:rsidRPr="00FB1F66">
        <w:t xml:space="preserve"> </w:t>
      </w:r>
      <w:r w:rsidRPr="00FB1F66">
        <w:rPr>
          <w:b w:val="0"/>
          <w:bCs/>
        </w:rPr>
        <w:t>Online Organization and Design</w:t>
      </w:r>
      <w:r w:rsidRPr="00FB1F66">
        <w:tab/>
      </w:r>
    </w:p>
    <w:p w14:paraId="77612DA0" w14:textId="15AF3ABD" w:rsidR="00B52EB9" w:rsidRPr="00FB1F66" w:rsidRDefault="00B52EB9" w:rsidP="00B41E8C">
      <w:pPr>
        <w:pStyle w:val="ListParagraph"/>
      </w:pPr>
      <w:r w:rsidRPr="00FB1F66">
        <w:t xml:space="preserve">2.1 Course is organized and easily navigable. </w:t>
      </w:r>
    </w:p>
    <w:p w14:paraId="43CF5902" w14:textId="60BABFE9" w:rsidR="00B52EB9" w:rsidRPr="00FB1F66" w:rsidRDefault="00B52EB9" w:rsidP="00B41E8C">
      <w:pPr>
        <w:pStyle w:val="ListParagraph"/>
      </w:pPr>
      <w:r w:rsidRPr="00FB1F66">
        <w:t>2.2 Course syllabus identifies and clearly delineates the level and type of interaction expected online.</w:t>
      </w:r>
    </w:p>
    <w:p w14:paraId="2D38099E" w14:textId="6B34073B" w:rsidR="00B52EB9" w:rsidRPr="00FB1F66" w:rsidRDefault="00B52EB9" w:rsidP="00B41E8C">
      <w:pPr>
        <w:pStyle w:val="ListParagraph"/>
      </w:pPr>
      <w:r w:rsidRPr="00FB1F66">
        <w:t>2.3 All web pages are visually and functionally consistent throughout the course.</w:t>
      </w:r>
    </w:p>
    <w:p w14:paraId="298FBD85" w14:textId="0BC3DADA" w:rsidR="00B52EB9" w:rsidRPr="00657602" w:rsidRDefault="00B52EB9" w:rsidP="00657602">
      <w:pPr>
        <w:pStyle w:val="Heading2"/>
      </w:pPr>
      <w:r w:rsidRPr="00657602">
        <w:t>Category 3</w:t>
      </w:r>
      <w:r w:rsidR="00657602">
        <w:t>:</w:t>
      </w:r>
      <w:r w:rsidRPr="00657602">
        <w:t xml:space="preserve"> </w:t>
      </w:r>
      <w:r w:rsidRPr="00FB1F66">
        <w:rPr>
          <w:b w:val="0"/>
          <w:bCs/>
        </w:rPr>
        <w:t>Instructional Design &amp; Delivery</w:t>
      </w:r>
    </w:p>
    <w:p w14:paraId="73560752" w14:textId="77777777" w:rsidR="00B52EB9" w:rsidRDefault="00B52EB9" w:rsidP="00B41E8C">
      <w:pPr>
        <w:pStyle w:val="ListParagraph"/>
      </w:pPr>
      <w:r w:rsidRPr="72257DBD">
        <w:t>3.1 Course offers opportunities for interaction and communication student-to-student, student-to-instructor, and student-to-content.</w:t>
      </w:r>
    </w:p>
    <w:p w14:paraId="691A3207" w14:textId="60F6B3A1" w:rsidR="00B52EB9" w:rsidRPr="003C5D6D" w:rsidRDefault="00B52EB9" w:rsidP="00B41E8C">
      <w:pPr>
        <w:pStyle w:val="ListParagraph"/>
      </w:pPr>
      <w:r>
        <w:t xml:space="preserve">3.2 </w:t>
      </w:r>
      <w:r w:rsidRPr="003C5D6D">
        <w:t>Course goals are clearly defined and aligned to learning</w:t>
      </w:r>
      <w:r w:rsidRPr="003C5D6D">
        <w:rPr>
          <w:spacing w:val="-1"/>
        </w:rPr>
        <w:t xml:space="preserve"> </w:t>
      </w:r>
      <w:r w:rsidRPr="003C5D6D">
        <w:t>objectives.</w:t>
      </w:r>
    </w:p>
    <w:p w14:paraId="2CFE321A" w14:textId="77777777" w:rsidR="00B52EB9" w:rsidRPr="003C5D6D" w:rsidRDefault="00B52EB9" w:rsidP="00B41E8C">
      <w:pPr>
        <w:pStyle w:val="ListParagraph"/>
      </w:pPr>
      <w:r w:rsidRPr="72257DBD">
        <w:t>3.3 Learning objectives are identified and learning activities are</w:t>
      </w:r>
      <w:r w:rsidRPr="72257DBD">
        <w:rPr>
          <w:spacing w:val="-1"/>
        </w:rPr>
        <w:t xml:space="preserve"> linked to objectives</w:t>
      </w:r>
      <w:r w:rsidRPr="72257DBD">
        <w:t xml:space="preserve">. </w:t>
      </w:r>
    </w:p>
    <w:p w14:paraId="2ED4D714" w14:textId="77777777" w:rsidR="00B52EB9" w:rsidRPr="003C5D6D" w:rsidRDefault="00B52EB9" w:rsidP="00B41E8C">
      <w:pPr>
        <w:pStyle w:val="ListParagraph"/>
      </w:pPr>
      <w:r>
        <w:t xml:space="preserve">3.4 </w:t>
      </w:r>
      <w:r w:rsidRPr="003C5D6D">
        <w:t>Course provides visual, textual, kinesthetic and/or auditory activities to enhance student learning and</w:t>
      </w:r>
      <w:r w:rsidRPr="003C5D6D">
        <w:rPr>
          <w:spacing w:val="-2"/>
        </w:rPr>
        <w:t xml:space="preserve"> </w:t>
      </w:r>
      <w:r w:rsidRPr="003C5D6D">
        <w:t>accessibility.</w:t>
      </w:r>
    </w:p>
    <w:p w14:paraId="364BE69E" w14:textId="796904D7" w:rsidR="00B52EB9" w:rsidRDefault="00B52EB9" w:rsidP="00B41E8C">
      <w:pPr>
        <w:pStyle w:val="ListParagraph"/>
      </w:pPr>
      <w:r>
        <w:t xml:space="preserve">3.5 </w:t>
      </w:r>
      <w:r w:rsidRPr="003C5D6D">
        <w:t>Course provides</w:t>
      </w:r>
      <w:r w:rsidRPr="003C5D6D">
        <w:rPr>
          <w:spacing w:val="-1"/>
        </w:rPr>
        <w:t xml:space="preserve"> </w:t>
      </w:r>
      <w:r w:rsidRPr="003C5D6D">
        <w:t>adequate activities to help students develop critical thinking and/or problem-solving</w:t>
      </w:r>
      <w:r w:rsidR="00FB1F66">
        <w:t xml:space="preserve"> </w:t>
      </w:r>
      <w:r w:rsidRPr="003C5D6D">
        <w:t>skills.</w:t>
      </w:r>
    </w:p>
    <w:p w14:paraId="4AE77920" w14:textId="31F4A0A8" w:rsidR="00B52EB9" w:rsidRPr="00657602" w:rsidRDefault="00B52EB9" w:rsidP="00657602">
      <w:pPr>
        <w:pStyle w:val="Heading2"/>
      </w:pPr>
      <w:r w:rsidRPr="00657602">
        <w:t>Category 4</w:t>
      </w:r>
      <w:r w:rsidR="00657602">
        <w:t>:</w:t>
      </w:r>
      <w:r w:rsidRPr="00657602">
        <w:t xml:space="preserve"> </w:t>
      </w:r>
      <w:r w:rsidRPr="00FB1F66">
        <w:rPr>
          <w:b w:val="0"/>
          <w:bCs/>
        </w:rPr>
        <w:t>Assessment &amp; Evaluation of Student Learning</w:t>
      </w:r>
    </w:p>
    <w:p w14:paraId="0AFBAEB0" w14:textId="77777777" w:rsidR="00B52EB9" w:rsidRPr="00B52EB9" w:rsidRDefault="00B52EB9" w:rsidP="00B41E8C">
      <w:pPr>
        <w:pStyle w:val="ListParagraph"/>
      </w:pPr>
      <w:r w:rsidRPr="00B52EB9">
        <w:t>4.1 Learning objectives, instructional and assessment activities are aligned to each other.</w:t>
      </w:r>
    </w:p>
    <w:p w14:paraId="74695CAB" w14:textId="77777777" w:rsidR="00B52EB9" w:rsidRPr="00B52EB9" w:rsidRDefault="00B52EB9" w:rsidP="00B41E8C">
      <w:pPr>
        <w:pStyle w:val="ListParagraph"/>
      </w:pPr>
      <w:r w:rsidRPr="00B52EB9">
        <w:t>4.2 Throughout the course, strategies are used to measure student mastery of the course goals. For example, online quizzes, discussion forums, online group projects, and peer reviews.</w:t>
      </w:r>
    </w:p>
    <w:p w14:paraId="0914F7F2" w14:textId="0E651BC7" w:rsidR="00B52EB9" w:rsidRDefault="00B52EB9" w:rsidP="00B41E8C">
      <w:pPr>
        <w:pStyle w:val="ListParagraph"/>
      </w:pPr>
      <w:r w:rsidRPr="00B52EB9">
        <w:t>4.3 Regular feedback about student performance is provided in a timely manner throughout the course.</w:t>
      </w:r>
    </w:p>
    <w:p w14:paraId="5E330AAC" w14:textId="4EAF9AB8" w:rsidR="00657602" w:rsidRPr="00657602" w:rsidRDefault="00657602" w:rsidP="00657602">
      <w:pPr>
        <w:pStyle w:val="Heading2"/>
      </w:pPr>
      <w:r w:rsidRPr="00657602">
        <w:t>Category 5</w:t>
      </w:r>
      <w:r>
        <w:t>:</w:t>
      </w:r>
      <w:r w:rsidRPr="00657602">
        <w:t xml:space="preserve"> </w:t>
      </w:r>
      <w:r w:rsidRPr="00FB1F66">
        <w:rPr>
          <w:b w:val="0"/>
          <w:bCs/>
        </w:rPr>
        <w:t>Innovative</w:t>
      </w:r>
      <w:r w:rsidRPr="00FB1F66">
        <w:rPr>
          <w:b w:val="0"/>
          <w:bCs/>
        </w:rPr>
        <w:t xml:space="preserve"> Teaching with Technology</w:t>
      </w:r>
    </w:p>
    <w:p w14:paraId="51305AFA" w14:textId="77777777" w:rsidR="00657602" w:rsidRPr="00FB1F66" w:rsidRDefault="00657602" w:rsidP="00B41E8C">
      <w:pPr>
        <w:pStyle w:val="ListParagraph"/>
      </w:pPr>
      <w:r w:rsidRPr="00FB1F66">
        <w:t>5.1 Course uses technology tools to facilitate communication and learning. For example, recorded lectures, voiced slides, podcasts, forums, and voice threads.</w:t>
      </w:r>
    </w:p>
    <w:p w14:paraId="5B13683C" w14:textId="292122D8" w:rsidR="00E67A7E" w:rsidRPr="00B41E8C" w:rsidRDefault="00657602" w:rsidP="00B41E8C">
      <w:pPr>
        <w:pStyle w:val="ListParagraph"/>
        <w:rPr>
          <w:rFonts w:eastAsiaTheme="majorEastAsia"/>
          <w:b/>
          <w:color w:val="000000" w:themeColor="text1"/>
          <w:sz w:val="28"/>
          <w:szCs w:val="28"/>
        </w:rPr>
      </w:pPr>
      <w:r w:rsidRPr="00FB1F66">
        <w:t>5.2 Multimedia elements and/or learning objectives are used.</w:t>
      </w:r>
    </w:p>
    <w:p w14:paraId="0F9C222E" w14:textId="1838EE1C" w:rsidR="00657602" w:rsidRPr="00657602" w:rsidRDefault="00657602" w:rsidP="00657602">
      <w:pPr>
        <w:pStyle w:val="Heading2"/>
      </w:pPr>
      <w:r w:rsidRPr="00657602">
        <w:lastRenderedPageBreak/>
        <w:t>Category 6</w:t>
      </w:r>
      <w:r>
        <w:t>:</w:t>
      </w:r>
      <w:r w:rsidRPr="00657602">
        <w:t xml:space="preserve"> </w:t>
      </w:r>
      <w:r w:rsidRPr="00FB1F66">
        <w:rPr>
          <w:b w:val="0"/>
          <w:bCs/>
        </w:rPr>
        <w:t>Accessibility</w:t>
      </w:r>
    </w:p>
    <w:p w14:paraId="3D257C1D" w14:textId="77777777" w:rsidR="00657602" w:rsidRPr="00B41E8C" w:rsidRDefault="00657602" w:rsidP="00B41E8C">
      <w:pPr>
        <w:pStyle w:val="ListParagraph"/>
      </w:pPr>
      <w:r w:rsidRPr="00B41E8C">
        <w:t>6.1 Links to disability support services (DSS) resources are provided. The syllabus links to the campus accessible policy.</w:t>
      </w:r>
    </w:p>
    <w:p w14:paraId="62172964" w14:textId="77777777" w:rsidR="00657602" w:rsidRPr="00B41E8C" w:rsidRDefault="00657602" w:rsidP="00B41E8C">
      <w:pPr>
        <w:pStyle w:val="ListParagraph"/>
      </w:pPr>
      <w:r w:rsidRPr="00B41E8C">
        <w:t>6.2 Instructor provides accommodations supporting students with registered disabilities.</w:t>
      </w:r>
    </w:p>
    <w:p w14:paraId="2D9BDEC2" w14:textId="77777777" w:rsidR="00657602" w:rsidRPr="00B41E8C" w:rsidRDefault="00657602" w:rsidP="00B41E8C">
      <w:pPr>
        <w:pStyle w:val="ListParagraph"/>
      </w:pPr>
      <w:r w:rsidRPr="00B41E8C">
        <w:t xml:space="preserve">6.3 All course documents and text materials created by the instructor or from outside sources are accessible to students with disabilities. </w:t>
      </w:r>
    </w:p>
    <w:p w14:paraId="4FBD94DD" w14:textId="77777777" w:rsidR="00657602" w:rsidRPr="00B41E8C" w:rsidRDefault="00657602" w:rsidP="00B41E8C">
      <w:pPr>
        <w:pStyle w:val="ListParagraph"/>
      </w:pPr>
      <w:r w:rsidRPr="00B41E8C">
        <w:t>6.4 All text materials (readings, supplemental materials, worksheets, presentation notes, etc.,) in the course are available in machine-readable digital text formal and implement accessibility best practice. If not, instructors coordinate with DSS to assure their text material are machine ready.</w:t>
      </w:r>
    </w:p>
    <w:p w14:paraId="3704BAB4" w14:textId="77777777" w:rsidR="00657602" w:rsidRPr="00B41E8C" w:rsidRDefault="00657602" w:rsidP="00B41E8C">
      <w:pPr>
        <w:pStyle w:val="ListParagraph"/>
      </w:pPr>
      <w:r w:rsidRPr="00B41E8C">
        <w:t>6.5 All videos (lecture recordings, films, online videos, etc.) are captioned or provide a downloadable transcript link.</w:t>
      </w:r>
    </w:p>
    <w:p w14:paraId="4B7B4BC1" w14:textId="77777777" w:rsidR="00657602" w:rsidRPr="00B41E8C" w:rsidRDefault="00657602" w:rsidP="00B41E8C">
      <w:pPr>
        <w:pStyle w:val="ListParagraph"/>
      </w:pPr>
      <w:r w:rsidRPr="00B41E8C">
        <w:t xml:space="preserve">6.6 All Images and Graphics have “ALT-Text” and describe the information the image means to convey. </w:t>
      </w:r>
    </w:p>
    <w:p w14:paraId="54160613" w14:textId="77777777" w:rsidR="00657602" w:rsidRPr="00B41E8C" w:rsidRDefault="00657602" w:rsidP="00B41E8C">
      <w:pPr>
        <w:pStyle w:val="ListParagraph"/>
      </w:pPr>
      <w:r w:rsidRPr="00B41E8C">
        <w:t xml:space="preserve">6.7 The instructor and course use officially supported campus technologies, which are already fully accessible and assistive technology ready. </w:t>
      </w:r>
    </w:p>
    <w:p w14:paraId="6BF3F45F" w14:textId="1F81CF10" w:rsidR="00657602" w:rsidRDefault="00657602" w:rsidP="00B41E8C">
      <w:pPr>
        <w:pStyle w:val="ListParagraph"/>
      </w:pPr>
      <w:r w:rsidRPr="00B41E8C">
        <w:t xml:space="preserve">6.8 Any </w:t>
      </w:r>
      <w:proofErr w:type="gramStart"/>
      <w:r w:rsidRPr="00B41E8C">
        <w:t>third party</w:t>
      </w:r>
      <w:proofErr w:type="gramEnd"/>
      <w:r w:rsidRPr="00B41E8C">
        <w:t xml:space="preserve"> tools used are accessible and assistive technology ready when feasible</w:t>
      </w:r>
      <w:r w:rsidRPr="00657602">
        <w:t>.</w:t>
      </w:r>
    </w:p>
    <w:p w14:paraId="54AE19A2" w14:textId="77777777" w:rsidR="00BA3067" w:rsidRPr="00B41E8C" w:rsidRDefault="00BA3067" w:rsidP="00B41E8C">
      <w:pPr>
        <w:pStyle w:val="Heading2"/>
      </w:pPr>
      <w:r w:rsidRPr="00B41E8C">
        <w:t xml:space="preserve">Resources for Online Instruction and Technical Support Services at CSUF </w:t>
      </w:r>
    </w:p>
    <w:p w14:paraId="25B5E28B" w14:textId="77777777" w:rsidR="00BA3067" w:rsidRPr="00B41E8C" w:rsidRDefault="00BA3067" w:rsidP="00B41E8C">
      <w:pPr>
        <w:rPr>
          <w:sz w:val="26"/>
          <w:szCs w:val="26"/>
        </w:rPr>
      </w:pPr>
      <w:r w:rsidRPr="00B41E8C">
        <w:rPr>
          <w:sz w:val="26"/>
          <w:szCs w:val="26"/>
        </w:rPr>
        <w:t>Department of Online Education and Training (OET) helps faculty create, promote, and support Online Education at California State University Fullerton.</w:t>
      </w:r>
    </w:p>
    <w:p w14:paraId="137619E6" w14:textId="5AFC63CD" w:rsidR="00BA3067" w:rsidRPr="00B41E8C" w:rsidRDefault="00FB1F66" w:rsidP="00B41E8C">
      <w:pPr>
        <w:rPr>
          <w:sz w:val="26"/>
          <w:szCs w:val="26"/>
        </w:rPr>
      </w:pPr>
      <w:hyperlink r:id="rId7" w:history="1">
        <w:r w:rsidR="00BA3067" w:rsidRPr="00B41E8C">
          <w:rPr>
            <w:rStyle w:val="Hyperlink"/>
            <w:sz w:val="26"/>
            <w:szCs w:val="26"/>
          </w:rPr>
          <w:t>OET W</w:t>
        </w:r>
        <w:r w:rsidR="00BA3067" w:rsidRPr="00B41E8C">
          <w:rPr>
            <w:rStyle w:val="Hyperlink"/>
            <w:sz w:val="26"/>
            <w:szCs w:val="26"/>
          </w:rPr>
          <w:t>e</w:t>
        </w:r>
        <w:r w:rsidR="00BA3067" w:rsidRPr="00B41E8C">
          <w:rPr>
            <w:rStyle w:val="Hyperlink"/>
            <w:sz w:val="26"/>
            <w:szCs w:val="26"/>
          </w:rPr>
          <w:t>bsite</w:t>
        </w:r>
      </w:hyperlink>
      <w:r w:rsidR="00B41E8C" w:rsidRPr="00B41E8C">
        <w:rPr>
          <w:sz w:val="26"/>
          <w:szCs w:val="26"/>
        </w:rPr>
        <w:br/>
      </w:r>
      <w:hyperlink r:id="rId8" w:history="1">
        <w:r w:rsidRPr="00B41E8C">
          <w:rPr>
            <w:rStyle w:val="Hyperlink"/>
            <w:sz w:val="26"/>
            <w:szCs w:val="26"/>
          </w:rPr>
          <w:t xml:space="preserve">OET </w:t>
        </w:r>
        <w:r w:rsidR="00BA3067" w:rsidRPr="00B41E8C">
          <w:rPr>
            <w:rStyle w:val="Hyperlink"/>
            <w:sz w:val="26"/>
            <w:szCs w:val="26"/>
          </w:rPr>
          <w:t xml:space="preserve">Online Readiness </w:t>
        </w:r>
        <w:r w:rsidRPr="00B41E8C">
          <w:rPr>
            <w:rStyle w:val="Hyperlink"/>
            <w:sz w:val="26"/>
            <w:szCs w:val="26"/>
          </w:rPr>
          <w:t>V</w:t>
        </w:r>
        <w:r w:rsidR="00BA3067" w:rsidRPr="00B41E8C">
          <w:rPr>
            <w:rStyle w:val="Hyperlink"/>
            <w:sz w:val="26"/>
            <w:szCs w:val="26"/>
          </w:rPr>
          <w:t xml:space="preserve">ideos and </w:t>
        </w:r>
        <w:r w:rsidRPr="00B41E8C">
          <w:rPr>
            <w:rStyle w:val="Hyperlink"/>
            <w:sz w:val="26"/>
            <w:szCs w:val="26"/>
          </w:rPr>
          <w:t>T</w:t>
        </w:r>
        <w:r w:rsidR="00BA3067" w:rsidRPr="00B41E8C">
          <w:rPr>
            <w:rStyle w:val="Hyperlink"/>
            <w:sz w:val="26"/>
            <w:szCs w:val="26"/>
          </w:rPr>
          <w:t>ools</w:t>
        </w:r>
      </w:hyperlink>
      <w:r w:rsidR="00BA3067" w:rsidRPr="00B41E8C">
        <w:rPr>
          <w:sz w:val="26"/>
          <w:szCs w:val="26"/>
        </w:rPr>
        <w:t xml:space="preserve"> </w:t>
      </w:r>
      <w:r w:rsidR="00B41E8C" w:rsidRPr="00B41E8C">
        <w:rPr>
          <w:sz w:val="26"/>
          <w:szCs w:val="26"/>
        </w:rPr>
        <w:br/>
      </w:r>
      <w:hyperlink r:id="rId9" w:history="1">
        <w:r w:rsidRPr="00B41E8C">
          <w:rPr>
            <w:rStyle w:val="Hyperlink"/>
            <w:sz w:val="26"/>
            <w:szCs w:val="26"/>
          </w:rPr>
          <w:t xml:space="preserve">OET </w:t>
        </w:r>
        <w:r w:rsidR="00BA3067" w:rsidRPr="00B41E8C">
          <w:rPr>
            <w:rStyle w:val="Hyperlink"/>
            <w:sz w:val="26"/>
            <w:szCs w:val="26"/>
          </w:rPr>
          <w:t>Services and Support</w:t>
        </w:r>
      </w:hyperlink>
    </w:p>
    <w:p w14:paraId="1CFA6AF9" w14:textId="77427FDF" w:rsidR="00BA3067" w:rsidRPr="00B41E8C" w:rsidRDefault="00BA3067" w:rsidP="00B41E8C">
      <w:pPr>
        <w:rPr>
          <w:color w:val="000000" w:themeColor="text1"/>
          <w:sz w:val="26"/>
          <w:szCs w:val="26"/>
        </w:rPr>
      </w:pPr>
      <w:r w:rsidRPr="00B41E8C">
        <w:rPr>
          <w:sz w:val="26"/>
          <w:szCs w:val="26"/>
        </w:rPr>
        <w:t>OET’s new online guide to</w:t>
      </w:r>
      <w:r w:rsidR="00FB1F66" w:rsidRPr="00B41E8C">
        <w:rPr>
          <w:color w:val="0000FF"/>
          <w:sz w:val="26"/>
          <w:szCs w:val="26"/>
        </w:rPr>
        <w:t xml:space="preserve"> </w:t>
      </w:r>
      <w:hyperlink r:id="rId10" w:history="1">
        <w:r w:rsidRPr="00B41E8C">
          <w:rPr>
            <w:rStyle w:val="Hyperlink"/>
            <w:sz w:val="26"/>
            <w:szCs w:val="26"/>
          </w:rPr>
          <w:t>Best Practices for Online Teaching</w:t>
        </w:r>
      </w:hyperlink>
      <w:r w:rsidRPr="00B41E8C">
        <w:rPr>
          <w:color w:val="000000" w:themeColor="text1"/>
          <w:sz w:val="26"/>
          <w:szCs w:val="26"/>
        </w:rPr>
        <w:t xml:space="preserve">. </w:t>
      </w:r>
      <w:r w:rsidRPr="00B41E8C">
        <w:rPr>
          <w:sz w:val="26"/>
          <w:szCs w:val="26"/>
        </w:rPr>
        <w:t xml:space="preserve">This site provides links to </w:t>
      </w:r>
      <w:hyperlink r:id="rId11" w:history="1">
        <w:r w:rsidRPr="00B41E8C">
          <w:rPr>
            <w:rStyle w:val="Hyperlink"/>
            <w:sz w:val="26"/>
            <w:szCs w:val="26"/>
          </w:rPr>
          <w:t>preparing to teach</w:t>
        </w:r>
      </w:hyperlink>
      <w:r w:rsidRPr="00B41E8C">
        <w:rPr>
          <w:sz w:val="26"/>
          <w:szCs w:val="26"/>
        </w:rPr>
        <w:t>, designing the course, delivering the course, Tech use and support, and Professional development.</w:t>
      </w:r>
    </w:p>
    <w:p w14:paraId="1E00679D" w14:textId="1F8D9DD8" w:rsidR="00BA3067" w:rsidRPr="00B41E8C" w:rsidRDefault="00BA3067" w:rsidP="00B41E8C">
      <w:pPr>
        <w:rPr>
          <w:rFonts w:eastAsia="Times New Roman"/>
          <w:color w:val="000000"/>
          <w:sz w:val="26"/>
          <w:szCs w:val="26"/>
        </w:rPr>
      </w:pPr>
      <w:r w:rsidRPr="00B41E8C">
        <w:rPr>
          <w:rFonts w:eastAsia="Times New Roman"/>
          <w:color w:val="000000"/>
          <w:sz w:val="26"/>
          <w:szCs w:val="26"/>
        </w:rPr>
        <w:t xml:space="preserve">The CSU Quality Learning &amp; Teaching Course Assessment QLT rubric is a detailed evaluation instrument </w:t>
      </w:r>
      <w:r w:rsidRPr="00B41E8C">
        <w:rPr>
          <w:sz w:val="26"/>
          <w:szCs w:val="26"/>
        </w:rPr>
        <w:t>composed of 57 items across 10 sections</w:t>
      </w:r>
      <w:r w:rsidRPr="00B41E8C">
        <w:rPr>
          <w:rFonts w:eastAsia="Times New Roman"/>
          <w:color w:val="000000"/>
          <w:sz w:val="26"/>
          <w:szCs w:val="26"/>
        </w:rPr>
        <w:t xml:space="preserve">. It is </w:t>
      </w:r>
      <w:r w:rsidRPr="00B41E8C">
        <w:rPr>
          <w:sz w:val="26"/>
          <w:szCs w:val="26"/>
        </w:rPr>
        <w:t>designed to help support and identify exemplary practices for the design and delivery of online, blended, and flipped courses.</w:t>
      </w:r>
      <w:r w:rsidRPr="00B41E8C">
        <w:rPr>
          <w:rFonts w:eastAsia="Times New Roman"/>
          <w:color w:val="000000"/>
          <w:sz w:val="26"/>
          <w:szCs w:val="26"/>
        </w:rPr>
        <w:t xml:space="preserve"> </w:t>
      </w:r>
      <w:hyperlink r:id="rId12" w:history="1">
        <w:r w:rsidR="00FB1F66" w:rsidRPr="00B41E8C">
          <w:rPr>
            <w:rStyle w:val="Hyperlink"/>
            <w:rFonts w:eastAsia="Times New Roman"/>
            <w:sz w:val="26"/>
            <w:szCs w:val="26"/>
          </w:rPr>
          <w:t>R</w:t>
        </w:r>
        <w:r w:rsidRPr="00B41E8C">
          <w:rPr>
            <w:rStyle w:val="Hyperlink"/>
            <w:rFonts w:eastAsia="Times New Roman"/>
            <w:sz w:val="26"/>
            <w:szCs w:val="26"/>
          </w:rPr>
          <w:t xml:space="preserve">equest a copy of the </w:t>
        </w:r>
        <w:r w:rsidR="00FB1F66" w:rsidRPr="00B41E8C">
          <w:rPr>
            <w:rStyle w:val="Hyperlink"/>
            <w:rFonts w:eastAsia="Times New Roman"/>
            <w:sz w:val="26"/>
            <w:szCs w:val="26"/>
          </w:rPr>
          <w:t>evaluation</w:t>
        </w:r>
        <w:r w:rsidR="00FB1F66" w:rsidRPr="00B41E8C">
          <w:rPr>
            <w:rStyle w:val="Hyperlink"/>
            <w:rFonts w:eastAsia="Times New Roman"/>
            <w:sz w:val="26"/>
            <w:szCs w:val="26"/>
          </w:rPr>
          <w:t xml:space="preserve"> </w:t>
        </w:r>
        <w:r w:rsidRPr="00B41E8C">
          <w:rPr>
            <w:rStyle w:val="Hyperlink"/>
            <w:rFonts w:eastAsia="Times New Roman"/>
            <w:sz w:val="26"/>
            <w:szCs w:val="26"/>
          </w:rPr>
          <w:t>instrument</w:t>
        </w:r>
        <w:r w:rsidR="00FB1F66" w:rsidRPr="00B41E8C">
          <w:rPr>
            <w:rStyle w:val="Hyperlink"/>
            <w:rFonts w:eastAsia="Times New Roman"/>
            <w:sz w:val="26"/>
            <w:szCs w:val="26"/>
          </w:rPr>
          <w:t>.</w:t>
        </w:r>
      </w:hyperlink>
      <w:r w:rsidR="00FB1F66" w:rsidRPr="00B41E8C">
        <w:rPr>
          <w:rFonts w:eastAsia="Times New Roman"/>
          <w:color w:val="000000"/>
          <w:sz w:val="26"/>
          <w:szCs w:val="26"/>
        </w:rPr>
        <w:t xml:space="preserve"> </w:t>
      </w:r>
    </w:p>
    <w:p w14:paraId="06367EB8" w14:textId="4C8FBD43" w:rsidR="00BA3067" w:rsidRPr="00B41E8C" w:rsidRDefault="00BA3067" w:rsidP="00B41E8C">
      <w:pPr>
        <w:rPr>
          <w:sz w:val="26"/>
          <w:szCs w:val="26"/>
        </w:rPr>
      </w:pPr>
      <w:r w:rsidRPr="00B41E8C">
        <w:rPr>
          <w:sz w:val="26"/>
          <w:szCs w:val="26"/>
        </w:rPr>
        <w:t xml:space="preserve">Faculty can complete the </w:t>
      </w:r>
      <w:hyperlink r:id="rId13" w:history="1">
        <w:r w:rsidRPr="00B41E8C">
          <w:rPr>
            <w:rStyle w:val="Hyperlink"/>
            <w:sz w:val="26"/>
            <w:szCs w:val="26"/>
          </w:rPr>
          <w:t>TOP (Teaching Online Program) Certificate program</w:t>
        </w:r>
      </w:hyperlink>
      <w:r w:rsidRPr="00B41E8C">
        <w:rPr>
          <w:sz w:val="26"/>
          <w:szCs w:val="26"/>
        </w:rPr>
        <w:t xml:space="preserve"> - a series of 4 online workshops.</w:t>
      </w:r>
    </w:p>
    <w:p w14:paraId="0C8B3CF4" w14:textId="77777777" w:rsidR="00EC3DC1" w:rsidRPr="003C5D6D" w:rsidRDefault="00EC3DC1" w:rsidP="00657602"/>
    <w:sectPr w:rsidR="00EC3DC1" w:rsidRPr="003C5D6D" w:rsidSect="00BA30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50855" w14:textId="77777777" w:rsidR="00412142" w:rsidRDefault="00412142" w:rsidP="00657602">
      <w:r>
        <w:separator/>
      </w:r>
    </w:p>
  </w:endnote>
  <w:endnote w:type="continuationSeparator" w:id="0">
    <w:p w14:paraId="3845FFFC" w14:textId="77777777" w:rsidR="00412142" w:rsidRDefault="00412142" w:rsidP="0065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84E99" w14:textId="77777777" w:rsidR="00412142" w:rsidRDefault="00412142" w:rsidP="00657602">
      <w:r>
        <w:separator/>
      </w:r>
    </w:p>
  </w:footnote>
  <w:footnote w:type="continuationSeparator" w:id="0">
    <w:p w14:paraId="55E52238" w14:textId="77777777" w:rsidR="00412142" w:rsidRDefault="00412142" w:rsidP="00657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02A0"/>
    <w:multiLevelType w:val="hybridMultilevel"/>
    <w:tmpl w:val="F2C4F914"/>
    <w:lvl w:ilvl="0" w:tplc="14C2990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00FF"/>
    <w:multiLevelType w:val="hybridMultilevel"/>
    <w:tmpl w:val="ABBA7E80"/>
    <w:lvl w:ilvl="0" w:tplc="7666871A">
      <w:start w:val="1"/>
      <w:numFmt w:val="upperLetter"/>
      <w:lvlText w:val="%1."/>
      <w:lvlJc w:val="left"/>
      <w:pPr>
        <w:ind w:left="720" w:hanging="361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64E4EBE4">
      <w:numFmt w:val="bullet"/>
      <w:lvlText w:val="•"/>
      <w:lvlJc w:val="left"/>
      <w:pPr>
        <w:ind w:left="1755" w:hanging="361"/>
      </w:pPr>
      <w:rPr>
        <w:rFonts w:hint="default"/>
      </w:rPr>
    </w:lvl>
    <w:lvl w:ilvl="2" w:tplc="2DEC30D6">
      <w:numFmt w:val="bullet"/>
      <w:lvlText w:val="•"/>
      <w:lvlJc w:val="left"/>
      <w:pPr>
        <w:ind w:left="2790" w:hanging="361"/>
      </w:pPr>
      <w:rPr>
        <w:rFonts w:hint="default"/>
      </w:rPr>
    </w:lvl>
    <w:lvl w:ilvl="3" w:tplc="080AC3C0">
      <w:numFmt w:val="bullet"/>
      <w:lvlText w:val="•"/>
      <w:lvlJc w:val="left"/>
      <w:pPr>
        <w:ind w:left="3825" w:hanging="361"/>
      </w:pPr>
      <w:rPr>
        <w:rFonts w:hint="default"/>
      </w:rPr>
    </w:lvl>
    <w:lvl w:ilvl="4" w:tplc="0F827544">
      <w:numFmt w:val="bullet"/>
      <w:lvlText w:val="•"/>
      <w:lvlJc w:val="left"/>
      <w:pPr>
        <w:ind w:left="4860" w:hanging="361"/>
      </w:pPr>
      <w:rPr>
        <w:rFonts w:hint="default"/>
      </w:rPr>
    </w:lvl>
    <w:lvl w:ilvl="5" w:tplc="4ABA10B0">
      <w:numFmt w:val="bullet"/>
      <w:lvlText w:val="•"/>
      <w:lvlJc w:val="left"/>
      <w:pPr>
        <w:ind w:left="5895" w:hanging="361"/>
      </w:pPr>
      <w:rPr>
        <w:rFonts w:hint="default"/>
      </w:rPr>
    </w:lvl>
    <w:lvl w:ilvl="6" w:tplc="829AEA52">
      <w:numFmt w:val="bullet"/>
      <w:lvlText w:val="•"/>
      <w:lvlJc w:val="left"/>
      <w:pPr>
        <w:ind w:left="6930" w:hanging="361"/>
      </w:pPr>
      <w:rPr>
        <w:rFonts w:hint="default"/>
      </w:rPr>
    </w:lvl>
    <w:lvl w:ilvl="7" w:tplc="042C62E0">
      <w:numFmt w:val="bullet"/>
      <w:lvlText w:val="•"/>
      <w:lvlJc w:val="left"/>
      <w:pPr>
        <w:ind w:left="7965" w:hanging="361"/>
      </w:pPr>
      <w:rPr>
        <w:rFonts w:hint="default"/>
      </w:rPr>
    </w:lvl>
    <w:lvl w:ilvl="8" w:tplc="8BD86C5C">
      <w:numFmt w:val="bullet"/>
      <w:lvlText w:val="•"/>
      <w:lvlJc w:val="left"/>
      <w:pPr>
        <w:ind w:left="9000" w:hanging="361"/>
      </w:pPr>
      <w:rPr>
        <w:rFonts w:hint="default"/>
      </w:rPr>
    </w:lvl>
  </w:abstractNum>
  <w:abstractNum w:abstractNumId="2" w15:restartNumberingAfterBreak="0">
    <w:nsid w:val="19B565E2"/>
    <w:multiLevelType w:val="hybridMultilevel"/>
    <w:tmpl w:val="BBE60C6C"/>
    <w:lvl w:ilvl="0" w:tplc="CED675C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77A61"/>
    <w:multiLevelType w:val="hybridMultilevel"/>
    <w:tmpl w:val="4B9C1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04342C"/>
    <w:multiLevelType w:val="hybridMultilevel"/>
    <w:tmpl w:val="1688AD78"/>
    <w:lvl w:ilvl="0" w:tplc="1918FE6C">
      <w:start w:val="1"/>
      <w:numFmt w:val="bullet"/>
      <w:pStyle w:val="ListParagraph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42585E"/>
    <w:multiLevelType w:val="hybridMultilevel"/>
    <w:tmpl w:val="DD909A68"/>
    <w:lvl w:ilvl="0" w:tplc="F65EFD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231F2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C421F"/>
    <w:multiLevelType w:val="hybridMultilevel"/>
    <w:tmpl w:val="5058C2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30462"/>
    <w:multiLevelType w:val="hybridMultilevel"/>
    <w:tmpl w:val="8FECF12E"/>
    <w:lvl w:ilvl="0" w:tplc="283603D8">
      <w:start w:val="1"/>
      <w:numFmt w:val="upperLetter"/>
      <w:lvlText w:val="%1."/>
      <w:lvlJc w:val="left"/>
      <w:pPr>
        <w:ind w:left="518" w:hanging="361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B2AAA0F6">
      <w:numFmt w:val="bullet"/>
      <w:lvlText w:val="•"/>
      <w:lvlJc w:val="left"/>
      <w:pPr>
        <w:ind w:left="835" w:hanging="361"/>
      </w:pPr>
      <w:rPr>
        <w:rFonts w:hint="default"/>
      </w:rPr>
    </w:lvl>
    <w:lvl w:ilvl="2" w:tplc="8E583F32">
      <w:numFmt w:val="bullet"/>
      <w:lvlText w:val="•"/>
      <w:lvlJc w:val="left"/>
      <w:pPr>
        <w:ind w:left="1150" w:hanging="361"/>
      </w:pPr>
      <w:rPr>
        <w:rFonts w:hint="default"/>
      </w:rPr>
    </w:lvl>
    <w:lvl w:ilvl="3" w:tplc="E9C00AC2">
      <w:numFmt w:val="bullet"/>
      <w:lvlText w:val="•"/>
      <w:lvlJc w:val="left"/>
      <w:pPr>
        <w:ind w:left="1465" w:hanging="361"/>
      </w:pPr>
      <w:rPr>
        <w:rFonts w:hint="default"/>
      </w:rPr>
    </w:lvl>
    <w:lvl w:ilvl="4" w:tplc="1E1EE6AC">
      <w:numFmt w:val="bullet"/>
      <w:lvlText w:val="•"/>
      <w:lvlJc w:val="left"/>
      <w:pPr>
        <w:ind w:left="1780" w:hanging="361"/>
      </w:pPr>
      <w:rPr>
        <w:rFonts w:hint="default"/>
      </w:rPr>
    </w:lvl>
    <w:lvl w:ilvl="5" w:tplc="FF24BADA">
      <w:numFmt w:val="bullet"/>
      <w:lvlText w:val="•"/>
      <w:lvlJc w:val="left"/>
      <w:pPr>
        <w:ind w:left="2095" w:hanging="361"/>
      </w:pPr>
      <w:rPr>
        <w:rFonts w:hint="default"/>
      </w:rPr>
    </w:lvl>
    <w:lvl w:ilvl="6" w:tplc="E1561F90">
      <w:numFmt w:val="bullet"/>
      <w:lvlText w:val="•"/>
      <w:lvlJc w:val="left"/>
      <w:pPr>
        <w:ind w:left="2410" w:hanging="361"/>
      </w:pPr>
      <w:rPr>
        <w:rFonts w:hint="default"/>
      </w:rPr>
    </w:lvl>
    <w:lvl w:ilvl="7" w:tplc="5FA00868">
      <w:numFmt w:val="bullet"/>
      <w:lvlText w:val="•"/>
      <w:lvlJc w:val="left"/>
      <w:pPr>
        <w:ind w:left="2725" w:hanging="361"/>
      </w:pPr>
      <w:rPr>
        <w:rFonts w:hint="default"/>
      </w:rPr>
    </w:lvl>
    <w:lvl w:ilvl="8" w:tplc="DDEAF12C">
      <w:numFmt w:val="bullet"/>
      <w:lvlText w:val="•"/>
      <w:lvlJc w:val="left"/>
      <w:pPr>
        <w:ind w:left="3040" w:hanging="361"/>
      </w:pPr>
      <w:rPr>
        <w:rFonts w:hint="default"/>
      </w:rPr>
    </w:lvl>
  </w:abstractNum>
  <w:abstractNum w:abstractNumId="8" w15:restartNumberingAfterBreak="0">
    <w:nsid w:val="38346ECB"/>
    <w:multiLevelType w:val="hybridMultilevel"/>
    <w:tmpl w:val="5B22A9E0"/>
    <w:lvl w:ilvl="0" w:tplc="6D1AFF2C">
      <w:start w:val="1"/>
      <w:numFmt w:val="upperLetter"/>
      <w:lvlText w:val="%1."/>
      <w:lvlJc w:val="left"/>
      <w:pPr>
        <w:ind w:left="621" w:hanging="361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EDCE957E">
      <w:numFmt w:val="bullet"/>
      <w:lvlText w:val="•"/>
      <w:lvlJc w:val="left"/>
      <w:pPr>
        <w:ind w:left="935" w:hanging="361"/>
      </w:pPr>
      <w:rPr>
        <w:rFonts w:hint="default"/>
      </w:rPr>
    </w:lvl>
    <w:lvl w:ilvl="2" w:tplc="A1E68560">
      <w:numFmt w:val="bullet"/>
      <w:lvlText w:val="•"/>
      <w:lvlJc w:val="left"/>
      <w:pPr>
        <w:ind w:left="1250" w:hanging="361"/>
      </w:pPr>
      <w:rPr>
        <w:rFonts w:hint="default"/>
      </w:rPr>
    </w:lvl>
    <w:lvl w:ilvl="3" w:tplc="5E5A1AF2">
      <w:numFmt w:val="bullet"/>
      <w:lvlText w:val="•"/>
      <w:lvlJc w:val="left"/>
      <w:pPr>
        <w:ind w:left="1565" w:hanging="361"/>
      </w:pPr>
      <w:rPr>
        <w:rFonts w:hint="default"/>
      </w:rPr>
    </w:lvl>
    <w:lvl w:ilvl="4" w:tplc="34C853DA">
      <w:numFmt w:val="bullet"/>
      <w:lvlText w:val="•"/>
      <w:lvlJc w:val="left"/>
      <w:pPr>
        <w:ind w:left="1880" w:hanging="361"/>
      </w:pPr>
      <w:rPr>
        <w:rFonts w:hint="default"/>
      </w:rPr>
    </w:lvl>
    <w:lvl w:ilvl="5" w:tplc="668215AC">
      <w:numFmt w:val="bullet"/>
      <w:lvlText w:val="•"/>
      <w:lvlJc w:val="left"/>
      <w:pPr>
        <w:ind w:left="2195" w:hanging="361"/>
      </w:pPr>
      <w:rPr>
        <w:rFonts w:hint="default"/>
      </w:rPr>
    </w:lvl>
    <w:lvl w:ilvl="6" w:tplc="CEE82AC2">
      <w:numFmt w:val="bullet"/>
      <w:lvlText w:val="•"/>
      <w:lvlJc w:val="left"/>
      <w:pPr>
        <w:ind w:left="2511" w:hanging="361"/>
      </w:pPr>
      <w:rPr>
        <w:rFonts w:hint="default"/>
      </w:rPr>
    </w:lvl>
    <w:lvl w:ilvl="7" w:tplc="CD6C24F0">
      <w:numFmt w:val="bullet"/>
      <w:lvlText w:val="•"/>
      <w:lvlJc w:val="left"/>
      <w:pPr>
        <w:ind w:left="2826" w:hanging="361"/>
      </w:pPr>
      <w:rPr>
        <w:rFonts w:hint="default"/>
      </w:rPr>
    </w:lvl>
    <w:lvl w:ilvl="8" w:tplc="73D29E28">
      <w:numFmt w:val="bullet"/>
      <w:lvlText w:val="•"/>
      <w:lvlJc w:val="left"/>
      <w:pPr>
        <w:ind w:left="3141" w:hanging="361"/>
      </w:pPr>
      <w:rPr>
        <w:rFonts w:hint="default"/>
      </w:rPr>
    </w:lvl>
  </w:abstractNum>
  <w:abstractNum w:abstractNumId="9" w15:restartNumberingAfterBreak="0">
    <w:nsid w:val="3A5D35E4"/>
    <w:multiLevelType w:val="hybridMultilevel"/>
    <w:tmpl w:val="1A58E7B4"/>
    <w:lvl w:ilvl="0" w:tplc="9DE49EE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6016E"/>
    <w:multiLevelType w:val="hybridMultilevel"/>
    <w:tmpl w:val="FD08CECC"/>
    <w:lvl w:ilvl="0" w:tplc="0FB0450E">
      <w:start w:val="1"/>
      <w:numFmt w:val="upperLetter"/>
      <w:lvlText w:val="%1."/>
      <w:lvlJc w:val="left"/>
      <w:pPr>
        <w:ind w:left="538" w:hanging="361"/>
      </w:pPr>
      <w:rPr>
        <w:rFonts w:ascii="Arial" w:eastAsia="Arial" w:hAnsi="Arial" w:cs="Arial" w:hint="default"/>
        <w:color w:val="231F20"/>
        <w:w w:val="100"/>
        <w:sz w:val="24"/>
        <w:szCs w:val="24"/>
      </w:rPr>
    </w:lvl>
    <w:lvl w:ilvl="1" w:tplc="813C42A4">
      <w:numFmt w:val="bullet"/>
      <w:lvlText w:val="•"/>
      <w:lvlJc w:val="left"/>
      <w:pPr>
        <w:ind w:left="836" w:hanging="361"/>
      </w:pPr>
      <w:rPr>
        <w:rFonts w:hint="default"/>
      </w:rPr>
    </w:lvl>
    <w:lvl w:ilvl="2" w:tplc="EC9CE4E6">
      <w:numFmt w:val="bullet"/>
      <w:lvlText w:val="•"/>
      <w:lvlJc w:val="left"/>
      <w:pPr>
        <w:ind w:left="1133" w:hanging="361"/>
      </w:pPr>
      <w:rPr>
        <w:rFonts w:hint="default"/>
      </w:rPr>
    </w:lvl>
    <w:lvl w:ilvl="3" w:tplc="FB56A704">
      <w:numFmt w:val="bullet"/>
      <w:lvlText w:val="•"/>
      <w:lvlJc w:val="left"/>
      <w:pPr>
        <w:ind w:left="1430" w:hanging="361"/>
      </w:pPr>
      <w:rPr>
        <w:rFonts w:hint="default"/>
      </w:rPr>
    </w:lvl>
    <w:lvl w:ilvl="4" w:tplc="F5C88E1A">
      <w:numFmt w:val="bullet"/>
      <w:lvlText w:val="•"/>
      <w:lvlJc w:val="left"/>
      <w:pPr>
        <w:ind w:left="1727" w:hanging="361"/>
      </w:pPr>
      <w:rPr>
        <w:rFonts w:hint="default"/>
      </w:rPr>
    </w:lvl>
    <w:lvl w:ilvl="5" w:tplc="F4027D0C">
      <w:numFmt w:val="bullet"/>
      <w:lvlText w:val="•"/>
      <w:lvlJc w:val="left"/>
      <w:pPr>
        <w:ind w:left="2024" w:hanging="361"/>
      </w:pPr>
      <w:rPr>
        <w:rFonts w:hint="default"/>
      </w:rPr>
    </w:lvl>
    <w:lvl w:ilvl="6" w:tplc="9BE0682C">
      <w:numFmt w:val="bullet"/>
      <w:lvlText w:val="•"/>
      <w:lvlJc w:val="left"/>
      <w:pPr>
        <w:ind w:left="2320" w:hanging="361"/>
      </w:pPr>
      <w:rPr>
        <w:rFonts w:hint="default"/>
      </w:rPr>
    </w:lvl>
    <w:lvl w:ilvl="7" w:tplc="F86E5392">
      <w:numFmt w:val="bullet"/>
      <w:lvlText w:val="•"/>
      <w:lvlJc w:val="left"/>
      <w:pPr>
        <w:ind w:left="2617" w:hanging="361"/>
      </w:pPr>
      <w:rPr>
        <w:rFonts w:hint="default"/>
      </w:rPr>
    </w:lvl>
    <w:lvl w:ilvl="8" w:tplc="864A2AA4">
      <w:numFmt w:val="bullet"/>
      <w:lvlText w:val="•"/>
      <w:lvlJc w:val="left"/>
      <w:pPr>
        <w:ind w:left="2914" w:hanging="361"/>
      </w:pPr>
      <w:rPr>
        <w:rFonts w:hint="default"/>
      </w:rPr>
    </w:lvl>
  </w:abstractNum>
  <w:abstractNum w:abstractNumId="11" w15:restartNumberingAfterBreak="0">
    <w:nsid w:val="463C2383"/>
    <w:multiLevelType w:val="multilevel"/>
    <w:tmpl w:val="0D3C28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C4E0EA5"/>
    <w:multiLevelType w:val="hybridMultilevel"/>
    <w:tmpl w:val="F2C4F914"/>
    <w:lvl w:ilvl="0" w:tplc="14C2990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61F69"/>
    <w:multiLevelType w:val="multilevel"/>
    <w:tmpl w:val="84AC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072327"/>
    <w:multiLevelType w:val="hybridMultilevel"/>
    <w:tmpl w:val="F2C4F914"/>
    <w:lvl w:ilvl="0" w:tplc="14C2990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F580C"/>
    <w:multiLevelType w:val="hybridMultilevel"/>
    <w:tmpl w:val="FAE4AB9E"/>
    <w:lvl w:ilvl="0" w:tplc="CED675C8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8"/>
  </w:num>
  <w:num w:numId="5">
    <w:abstractNumId w:val="0"/>
  </w:num>
  <w:num w:numId="6">
    <w:abstractNumId w:val="14"/>
  </w:num>
  <w:num w:numId="7">
    <w:abstractNumId w:val="15"/>
  </w:num>
  <w:num w:numId="8">
    <w:abstractNumId w:val="7"/>
  </w:num>
  <w:num w:numId="9">
    <w:abstractNumId w:val="2"/>
  </w:num>
  <w:num w:numId="10">
    <w:abstractNumId w:val="10"/>
  </w:num>
  <w:num w:numId="11">
    <w:abstractNumId w:val="1"/>
  </w:num>
  <w:num w:numId="12">
    <w:abstractNumId w:val="13"/>
  </w:num>
  <w:num w:numId="13">
    <w:abstractNumId w:val="3"/>
  </w:num>
  <w:num w:numId="14">
    <w:abstractNumId w:val="11"/>
  </w:num>
  <w:num w:numId="15">
    <w:abstractNumId w:val="4"/>
  </w:num>
  <w:num w:numId="16">
    <w:abstractNumId w:val="9"/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DC1"/>
    <w:rsid w:val="000234A7"/>
    <w:rsid w:val="000C5592"/>
    <w:rsid w:val="000D45A7"/>
    <w:rsid w:val="001248CB"/>
    <w:rsid w:val="001E34C0"/>
    <w:rsid w:val="002213B1"/>
    <w:rsid w:val="00321B01"/>
    <w:rsid w:val="003937A2"/>
    <w:rsid w:val="003C5D6D"/>
    <w:rsid w:val="00410B02"/>
    <w:rsid w:val="00412142"/>
    <w:rsid w:val="004A4328"/>
    <w:rsid w:val="0050161D"/>
    <w:rsid w:val="005125D7"/>
    <w:rsid w:val="005947CC"/>
    <w:rsid w:val="00657602"/>
    <w:rsid w:val="006C35E0"/>
    <w:rsid w:val="007415B0"/>
    <w:rsid w:val="007A2BC4"/>
    <w:rsid w:val="009034E8"/>
    <w:rsid w:val="009178FE"/>
    <w:rsid w:val="009D361C"/>
    <w:rsid w:val="00A45254"/>
    <w:rsid w:val="00A97895"/>
    <w:rsid w:val="00B01804"/>
    <w:rsid w:val="00B22289"/>
    <w:rsid w:val="00B41E8C"/>
    <w:rsid w:val="00B52EB9"/>
    <w:rsid w:val="00B95504"/>
    <w:rsid w:val="00BA3067"/>
    <w:rsid w:val="00BA716A"/>
    <w:rsid w:val="00C90D2B"/>
    <w:rsid w:val="00D958F6"/>
    <w:rsid w:val="00E47906"/>
    <w:rsid w:val="00E61104"/>
    <w:rsid w:val="00E67A7E"/>
    <w:rsid w:val="00E90132"/>
    <w:rsid w:val="00EC3DC1"/>
    <w:rsid w:val="00EF06E7"/>
    <w:rsid w:val="00FB1F66"/>
    <w:rsid w:val="7225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DF203"/>
  <w15:chartTrackingRefBased/>
  <w15:docId w15:val="{6B58C950-185B-427F-ACCC-0B4A8755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E8C"/>
    <w:pPr>
      <w:spacing w:before="120" w:after="120"/>
    </w:pPr>
    <w:rPr>
      <w:rFonts w:ascii="Times New Roman" w:hAnsi="Times New Roman" w:cs="Times New Roman"/>
      <w:sz w:val="24"/>
      <w:szCs w:val="24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602"/>
    <w:pPr>
      <w:keepNext/>
      <w:keepLines/>
      <w:spacing w:before="240" w:after="0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7602"/>
    <w:pPr>
      <w:keepNext/>
      <w:keepLines/>
      <w:spacing w:before="160"/>
      <w:outlineLvl w:val="1"/>
    </w:pPr>
    <w:rPr>
      <w:rFonts w:eastAsiaTheme="majorEastAsia"/>
      <w:b/>
      <w:color w:val="000000" w:themeColor="text1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41E8C"/>
    <w:pPr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C3D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B41E8C"/>
    <w:pPr>
      <w:numPr>
        <w:numId w:val="15"/>
      </w:numPr>
      <w:spacing w:line="300" w:lineRule="auto"/>
      <w:contextualSpacing/>
    </w:pPr>
    <w:rPr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A4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328"/>
  </w:style>
  <w:style w:type="paragraph" w:styleId="Footer">
    <w:name w:val="footer"/>
    <w:basedOn w:val="Normal"/>
    <w:link w:val="FooterChar"/>
    <w:uiPriority w:val="99"/>
    <w:unhideWhenUsed/>
    <w:rsid w:val="004A4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328"/>
  </w:style>
  <w:style w:type="character" w:styleId="Hyperlink">
    <w:name w:val="Hyperlink"/>
    <w:basedOn w:val="DefaultParagraphFont"/>
    <w:uiPriority w:val="99"/>
    <w:unhideWhenUsed/>
    <w:rsid w:val="005947C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3067"/>
    <w:pPr>
      <w:spacing w:before="240" w:after="240" w:line="240" w:lineRule="auto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57602"/>
    <w:rPr>
      <w:rFonts w:ascii="Times New Roman" w:eastAsiaTheme="majorEastAsia" w:hAnsi="Times New Roman" w:cs="Times New Roman"/>
      <w:b/>
      <w:bCs/>
      <w:color w:val="000000" w:themeColor="text1"/>
      <w:sz w:val="32"/>
      <w:szCs w:val="32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657602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FB1F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1E8C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41E8C"/>
    <w:rPr>
      <w:rFonts w:ascii="Times New Roman" w:eastAsiaTheme="majorEastAsia" w:hAnsi="Times New Roman" w:cs="Times New Roman"/>
      <w:b/>
      <w:color w:val="000000" w:themeColor="text1"/>
      <w:sz w:val="28"/>
      <w:szCs w:val="2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882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23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6726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DDDDDD"/>
                        <w:bottom w:val="single" w:sz="6" w:space="8" w:color="DDDDDD"/>
                        <w:right w:val="single" w:sz="6" w:space="15" w:color="DDDDDD"/>
                      </w:divBdr>
                      <w:divsChild>
                        <w:div w:id="151587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3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et.fullerton.edu/online_readiness/index.php" TargetMode="External"/><Relationship Id="rId13" Type="http://schemas.openxmlformats.org/officeDocument/2006/relationships/hyperlink" Target="http://oet.fullerton.edu/certificate_programs/top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et.fullerton.edu/" TargetMode="External"/><Relationship Id="rId12" Type="http://schemas.openxmlformats.org/officeDocument/2006/relationships/hyperlink" Target="http://courseredesign.csuprojects.org/wp/qualityassurance/qlt-informal-rev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nlineed.fullerton.edu/bestpractices/preparing_to_teach_online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onlineed.fullerton.edu/bestpractice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dc.fullerton.edu/teaching/onlinetech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Fullerton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Herrera, Veronica</dc:creator>
  <cp:keywords/>
  <dc:description/>
  <cp:lastModifiedBy>Van Fleet, Alan</cp:lastModifiedBy>
  <cp:revision>5</cp:revision>
  <dcterms:created xsi:type="dcterms:W3CDTF">2020-01-06T19:52:00Z</dcterms:created>
  <dcterms:modified xsi:type="dcterms:W3CDTF">2020-01-06T20:23:00Z</dcterms:modified>
</cp:coreProperties>
</file>